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8FE1" w14:textId="77777777" w:rsidR="00E732BB" w:rsidRPr="00BB740B" w:rsidRDefault="00CA61A8">
      <w:pPr>
        <w:spacing w:after="0" w:line="259" w:lineRule="auto"/>
        <w:ind w:left="10" w:right="10"/>
        <w:jc w:val="center"/>
      </w:pPr>
      <w:r w:rsidRPr="00BB740B">
        <w:rPr>
          <w:b/>
          <w:sz w:val="32"/>
        </w:rPr>
        <w:t xml:space="preserve">NATIONAL TAIWAN UNIVERSITY </w:t>
      </w:r>
    </w:p>
    <w:p w14:paraId="5AFCA9D1" w14:textId="74A18969" w:rsidR="009F0E4C" w:rsidRPr="00BB740B" w:rsidRDefault="00ED3D4A" w:rsidP="009F0E4C">
      <w:pPr>
        <w:spacing w:after="0" w:line="259" w:lineRule="auto"/>
        <w:ind w:left="10" w:right="10"/>
        <w:jc w:val="center"/>
      </w:pPr>
      <w:r>
        <w:rPr>
          <w:b/>
          <w:sz w:val="32"/>
        </w:rPr>
        <w:t>Regulations for Supporting Student Organizations in Promoting Center of Student Well-Being</w:t>
      </w:r>
    </w:p>
    <w:p w14:paraId="2A0BAA3E" w14:textId="77777777" w:rsidR="00E732BB" w:rsidRPr="00BB740B" w:rsidRDefault="00E732BB">
      <w:pPr>
        <w:spacing w:after="0" w:line="259" w:lineRule="auto"/>
        <w:ind w:left="10" w:right="6"/>
        <w:jc w:val="center"/>
      </w:pPr>
    </w:p>
    <w:p w14:paraId="1C8ED4E8" w14:textId="77777777" w:rsidR="00E732BB" w:rsidRPr="00BB740B" w:rsidRDefault="00CA61A8">
      <w:pPr>
        <w:spacing w:after="0" w:line="259" w:lineRule="auto"/>
        <w:ind w:left="0" w:firstLine="0"/>
        <w:jc w:val="left"/>
      </w:pPr>
      <w:r w:rsidRPr="00BB740B">
        <w:rPr>
          <w:sz w:val="20"/>
        </w:rPr>
        <w:t xml:space="preserve"> </w:t>
      </w:r>
    </w:p>
    <w:p w14:paraId="2E8A8D97" w14:textId="4443C2A3" w:rsidR="00E732BB" w:rsidRPr="00BB740B" w:rsidRDefault="00ED3D4A" w:rsidP="009F0E4C">
      <w:pPr>
        <w:spacing w:after="4"/>
        <w:ind w:left="-5"/>
        <w:jc w:val="right"/>
      </w:pPr>
      <w:r>
        <w:rPr>
          <w:rFonts w:eastAsiaTheme="minorEastAsia"/>
          <w:sz w:val="20"/>
        </w:rPr>
        <w:t>July</w:t>
      </w:r>
      <w:r w:rsidR="00CA61A8" w:rsidRPr="00BB740B">
        <w:rPr>
          <w:sz w:val="20"/>
        </w:rPr>
        <w:t xml:space="preserve"> </w:t>
      </w:r>
      <w:r>
        <w:rPr>
          <w:sz w:val="20"/>
        </w:rPr>
        <w:t>8</w:t>
      </w:r>
      <w:r w:rsidR="00CA61A8" w:rsidRPr="00BB740B">
        <w:rPr>
          <w:sz w:val="20"/>
        </w:rPr>
        <w:t>, 20</w:t>
      </w:r>
      <w:r w:rsidR="00BB740B">
        <w:rPr>
          <w:sz w:val="20"/>
        </w:rPr>
        <w:t>2</w:t>
      </w:r>
      <w:r>
        <w:rPr>
          <w:sz w:val="20"/>
        </w:rPr>
        <w:t>2</w:t>
      </w:r>
      <w:r w:rsidR="00CA61A8" w:rsidRPr="00BB740B">
        <w:rPr>
          <w:sz w:val="20"/>
        </w:rPr>
        <w:t xml:space="preserve">—Passed by </w:t>
      </w:r>
      <w:r w:rsidR="00AF2132">
        <w:rPr>
          <w:sz w:val="20"/>
        </w:rPr>
        <w:t>the</w:t>
      </w:r>
      <w:r w:rsidR="009F0E4C">
        <w:rPr>
          <w:sz w:val="20"/>
        </w:rPr>
        <w:t xml:space="preserve"> Administrative </w:t>
      </w:r>
      <w:r w:rsidR="00CA61A8" w:rsidRPr="00BB740B">
        <w:rPr>
          <w:sz w:val="20"/>
        </w:rPr>
        <w:t>Meeting</w:t>
      </w:r>
      <w:r w:rsidR="00AF2132">
        <w:rPr>
          <w:sz w:val="20"/>
        </w:rPr>
        <w:t xml:space="preserve"> of Center of Student Well-Being</w:t>
      </w:r>
      <w:r w:rsidR="00CA61A8" w:rsidRPr="00BB740B">
        <w:rPr>
          <w:sz w:val="20"/>
        </w:rPr>
        <w:t xml:space="preserve"> </w:t>
      </w:r>
    </w:p>
    <w:tbl>
      <w:tblPr>
        <w:tblStyle w:val="TableGrid"/>
        <w:tblW w:w="8565" w:type="dxa"/>
        <w:tblInd w:w="0" w:type="dxa"/>
        <w:tblLook w:val="04A0" w:firstRow="1" w:lastRow="0" w:firstColumn="1" w:lastColumn="0" w:noHBand="0" w:noVBand="1"/>
      </w:tblPr>
      <w:tblGrid>
        <w:gridCol w:w="1133"/>
        <w:gridCol w:w="7432"/>
      </w:tblGrid>
      <w:tr w:rsidR="00E732BB" w:rsidRPr="00BB740B" w14:paraId="09F69FE8" w14:textId="77777777" w:rsidTr="003A4D97">
        <w:trPr>
          <w:trHeight w:val="456"/>
        </w:trPr>
        <w:tc>
          <w:tcPr>
            <w:tcW w:w="1133" w:type="dxa"/>
            <w:tcBorders>
              <w:top w:val="nil"/>
              <w:left w:val="nil"/>
              <w:bottom w:val="nil"/>
              <w:right w:val="nil"/>
            </w:tcBorders>
          </w:tcPr>
          <w:p w14:paraId="1466B45F" w14:textId="77777777" w:rsidR="00E732BB" w:rsidRPr="00BB740B" w:rsidRDefault="00CA61A8">
            <w:pPr>
              <w:spacing w:after="0" w:line="259" w:lineRule="auto"/>
              <w:ind w:left="0" w:firstLine="0"/>
              <w:jc w:val="left"/>
            </w:pPr>
            <w:r w:rsidRPr="00BB740B">
              <w:rPr>
                <w:sz w:val="20"/>
              </w:rPr>
              <w:t xml:space="preserve"> </w:t>
            </w:r>
          </w:p>
          <w:p w14:paraId="4322642C" w14:textId="77777777" w:rsidR="00E732BB" w:rsidRPr="00BB740B" w:rsidRDefault="00CA61A8">
            <w:pPr>
              <w:spacing w:after="0" w:line="259" w:lineRule="auto"/>
              <w:ind w:left="0" w:firstLine="0"/>
              <w:jc w:val="left"/>
            </w:pPr>
            <w:r w:rsidRPr="00BB740B">
              <w:rPr>
                <w:sz w:val="20"/>
              </w:rPr>
              <w:t xml:space="preserve"> </w:t>
            </w:r>
          </w:p>
        </w:tc>
        <w:tc>
          <w:tcPr>
            <w:tcW w:w="7432" w:type="dxa"/>
            <w:tcBorders>
              <w:top w:val="nil"/>
              <w:left w:val="nil"/>
              <w:bottom w:val="nil"/>
              <w:right w:val="nil"/>
            </w:tcBorders>
          </w:tcPr>
          <w:p w14:paraId="1969C6A6" w14:textId="77777777" w:rsidR="00E732BB" w:rsidRPr="00BB740B" w:rsidRDefault="00E732BB">
            <w:pPr>
              <w:spacing w:after="160" w:line="259" w:lineRule="auto"/>
              <w:ind w:left="0" w:firstLine="0"/>
              <w:jc w:val="left"/>
            </w:pPr>
          </w:p>
        </w:tc>
      </w:tr>
      <w:tr w:rsidR="00E732BB" w:rsidRPr="00BB740B" w14:paraId="365DED51" w14:textId="77777777" w:rsidTr="003A4D97">
        <w:trPr>
          <w:trHeight w:val="1194"/>
        </w:trPr>
        <w:tc>
          <w:tcPr>
            <w:tcW w:w="1133" w:type="dxa"/>
            <w:tcBorders>
              <w:top w:val="nil"/>
              <w:left w:val="nil"/>
              <w:bottom w:val="nil"/>
              <w:right w:val="nil"/>
            </w:tcBorders>
          </w:tcPr>
          <w:p w14:paraId="55613357" w14:textId="77777777" w:rsidR="00E732BB" w:rsidRPr="00BB740B" w:rsidRDefault="00CA61A8">
            <w:pPr>
              <w:spacing w:after="0" w:line="259" w:lineRule="auto"/>
              <w:ind w:left="0" w:firstLine="0"/>
              <w:jc w:val="left"/>
            </w:pPr>
            <w:r w:rsidRPr="00BB740B">
              <w:t xml:space="preserve">Article 1 </w:t>
            </w:r>
          </w:p>
        </w:tc>
        <w:tc>
          <w:tcPr>
            <w:tcW w:w="7432" w:type="dxa"/>
            <w:tcBorders>
              <w:top w:val="nil"/>
              <w:left w:val="nil"/>
              <w:bottom w:val="nil"/>
              <w:right w:val="nil"/>
            </w:tcBorders>
          </w:tcPr>
          <w:p w14:paraId="230FF605" w14:textId="0F8CEC6B" w:rsidR="00872DA4" w:rsidRPr="0034037D" w:rsidRDefault="00FB259A">
            <w:pPr>
              <w:spacing w:after="0" w:line="259" w:lineRule="auto"/>
              <w:ind w:left="0" w:right="61" w:firstLine="0"/>
              <w:rPr>
                <w:rFonts w:eastAsiaTheme="minorEastAsia"/>
              </w:rPr>
            </w:pPr>
            <w:r w:rsidRPr="00FB259A">
              <w:rPr>
                <w:rFonts w:eastAsiaTheme="minorEastAsia"/>
              </w:rPr>
              <w:t>To encourage student autonomous organizations and student clubs to assist in promoting the services of Center for Student Well-Being, hereinafter referred to as "CSW", CSW has established these regulations for grant applications.</w:t>
            </w:r>
          </w:p>
        </w:tc>
      </w:tr>
      <w:tr w:rsidR="00FB259A" w:rsidRPr="00BB740B" w14:paraId="1B995563" w14:textId="77777777" w:rsidTr="003A4D97">
        <w:trPr>
          <w:trHeight w:val="1194"/>
        </w:trPr>
        <w:tc>
          <w:tcPr>
            <w:tcW w:w="1133" w:type="dxa"/>
            <w:tcBorders>
              <w:top w:val="nil"/>
              <w:left w:val="nil"/>
              <w:bottom w:val="nil"/>
              <w:right w:val="nil"/>
            </w:tcBorders>
          </w:tcPr>
          <w:p w14:paraId="4C660B8D" w14:textId="77777777" w:rsidR="00FB259A" w:rsidRPr="0034037D" w:rsidRDefault="00FB259A" w:rsidP="00FB259A">
            <w:pPr>
              <w:spacing w:after="0" w:line="259" w:lineRule="auto"/>
              <w:ind w:left="0" w:firstLine="0"/>
              <w:jc w:val="left"/>
              <w:rPr>
                <w:rFonts w:eastAsiaTheme="minorEastAsia"/>
              </w:rPr>
            </w:pPr>
            <w:r>
              <w:rPr>
                <w:rFonts w:eastAsiaTheme="minorEastAsia" w:hint="eastAsia"/>
              </w:rPr>
              <w:t>A</w:t>
            </w:r>
            <w:r>
              <w:rPr>
                <w:rFonts w:eastAsiaTheme="minorEastAsia"/>
              </w:rPr>
              <w:t>rticle 2</w:t>
            </w:r>
          </w:p>
        </w:tc>
        <w:tc>
          <w:tcPr>
            <w:tcW w:w="7432" w:type="dxa"/>
            <w:tcBorders>
              <w:top w:val="nil"/>
              <w:left w:val="nil"/>
              <w:bottom w:val="nil"/>
              <w:right w:val="nil"/>
            </w:tcBorders>
          </w:tcPr>
          <w:p w14:paraId="322DA17F" w14:textId="61987C9C" w:rsidR="00FB259A" w:rsidRDefault="00FB259A" w:rsidP="00FB259A">
            <w:pPr>
              <w:spacing w:after="0" w:line="259" w:lineRule="auto"/>
              <w:ind w:left="0" w:right="61" w:firstLine="0"/>
              <w:rPr>
                <w:rFonts w:eastAsiaTheme="minorEastAsia"/>
              </w:rPr>
            </w:pPr>
            <w:r w:rsidRPr="00E8526B">
              <w:t>Eligible student organizations for grants: Student autonomous organizations or student clubs registered by the Student Activity Division from Office of Student Affairs.</w:t>
            </w:r>
          </w:p>
        </w:tc>
      </w:tr>
      <w:tr w:rsidR="00FB259A" w:rsidRPr="00BB740B" w14:paraId="5995BF91" w14:textId="77777777" w:rsidTr="003A4D97">
        <w:trPr>
          <w:trHeight w:val="1560"/>
        </w:trPr>
        <w:tc>
          <w:tcPr>
            <w:tcW w:w="1133" w:type="dxa"/>
            <w:tcBorders>
              <w:top w:val="nil"/>
              <w:left w:val="nil"/>
              <w:bottom w:val="nil"/>
              <w:right w:val="nil"/>
            </w:tcBorders>
          </w:tcPr>
          <w:p w14:paraId="646D7F0B" w14:textId="214E62BA" w:rsidR="00FB259A" w:rsidRPr="00BB740B" w:rsidRDefault="00FB259A" w:rsidP="00FB259A">
            <w:pPr>
              <w:spacing w:after="0" w:line="259" w:lineRule="auto"/>
              <w:ind w:left="0" w:firstLine="0"/>
              <w:jc w:val="left"/>
            </w:pPr>
            <w:r w:rsidRPr="00BB740B">
              <w:t xml:space="preserve">Article </w:t>
            </w:r>
            <w:r>
              <w:t>3</w:t>
            </w:r>
            <w:r w:rsidRPr="00BB740B">
              <w:t xml:space="preserve"> </w:t>
            </w:r>
          </w:p>
        </w:tc>
        <w:tc>
          <w:tcPr>
            <w:tcW w:w="7432" w:type="dxa"/>
            <w:tcBorders>
              <w:top w:val="nil"/>
              <w:left w:val="nil"/>
              <w:bottom w:val="nil"/>
              <w:right w:val="nil"/>
            </w:tcBorders>
          </w:tcPr>
          <w:p w14:paraId="539C4C70" w14:textId="77777777" w:rsidR="000A608E" w:rsidRDefault="000A608E" w:rsidP="000A608E">
            <w:pPr>
              <w:spacing w:after="0" w:line="259" w:lineRule="auto"/>
              <w:ind w:left="0" w:firstLine="0"/>
            </w:pPr>
            <w:r>
              <w:t>Application timeline and procedure:</w:t>
            </w:r>
          </w:p>
          <w:p w14:paraId="51F5C472" w14:textId="77777777" w:rsidR="000A608E" w:rsidRDefault="000A608E" w:rsidP="000A608E">
            <w:pPr>
              <w:pStyle w:val="ListParagraph"/>
              <w:numPr>
                <w:ilvl w:val="0"/>
                <w:numId w:val="12"/>
              </w:numPr>
              <w:spacing w:after="0" w:line="259" w:lineRule="auto"/>
            </w:pPr>
            <w:r>
              <w:t>One month before the event, submit a written application to the campus advisors of CSW.</w:t>
            </w:r>
          </w:p>
          <w:p w14:paraId="0DB08114" w14:textId="77777777" w:rsidR="000A608E" w:rsidRDefault="000A608E" w:rsidP="000A608E">
            <w:pPr>
              <w:pStyle w:val="ListParagraph"/>
              <w:numPr>
                <w:ilvl w:val="0"/>
                <w:numId w:val="13"/>
              </w:numPr>
              <w:spacing w:after="0" w:line="259" w:lineRule="auto"/>
            </w:pPr>
            <w:r>
              <w:t>If the promotion or participation targets are limited to a specific college or department, the student organization must notify the campus advisor of the specific college and discuss the form of promotion or counseling activities with them.</w:t>
            </w:r>
          </w:p>
          <w:p w14:paraId="63795A4C" w14:textId="4934E7E1" w:rsidR="000A608E" w:rsidRDefault="000A608E" w:rsidP="000A608E">
            <w:pPr>
              <w:pStyle w:val="ListParagraph"/>
              <w:numPr>
                <w:ilvl w:val="0"/>
                <w:numId w:val="13"/>
              </w:numPr>
              <w:spacing w:after="0" w:line="259" w:lineRule="auto"/>
            </w:pPr>
            <w:r>
              <w:t>If the promotion or participation targets are for the entire school without specific limitations, the student organization must notify the campus advisor of the specific college and discuss the form of promotion or counseling activities with them.</w:t>
            </w:r>
          </w:p>
          <w:p w14:paraId="0B266FBC" w14:textId="77777777" w:rsidR="00FB259A" w:rsidRPr="000A608E" w:rsidRDefault="000A608E" w:rsidP="000A608E">
            <w:pPr>
              <w:pStyle w:val="ListParagraph"/>
              <w:numPr>
                <w:ilvl w:val="0"/>
                <w:numId w:val="12"/>
              </w:numPr>
              <w:spacing w:after="0" w:line="259" w:lineRule="auto"/>
              <w:ind w:right="61"/>
              <w:rPr>
                <w:rFonts w:eastAsiaTheme="minorEastAsia"/>
              </w:rPr>
            </w:pPr>
            <w:r>
              <w:t>CSW will convene an evaluation meeting, where decisions will be made by consensus among the members of CSW. If it is deemed inappropriate for the promotion or counseling activities, the request may be rejected, and the reasons must be explained to the representatives of the student organization in person.</w:t>
            </w:r>
          </w:p>
          <w:p w14:paraId="0C454C88" w14:textId="66489FC7" w:rsidR="000A608E" w:rsidRPr="000A608E" w:rsidRDefault="000A608E" w:rsidP="000A608E">
            <w:pPr>
              <w:pStyle w:val="ListParagraph"/>
              <w:spacing w:after="0" w:line="259" w:lineRule="auto"/>
              <w:ind w:right="61" w:firstLine="0"/>
              <w:rPr>
                <w:rFonts w:eastAsiaTheme="minorEastAsia"/>
              </w:rPr>
            </w:pPr>
          </w:p>
        </w:tc>
      </w:tr>
      <w:tr w:rsidR="003A4D97" w14:paraId="2AF43457" w14:textId="77777777" w:rsidTr="003A4D97">
        <w:trPr>
          <w:trHeight w:val="1194"/>
        </w:trPr>
        <w:tc>
          <w:tcPr>
            <w:tcW w:w="1133" w:type="dxa"/>
          </w:tcPr>
          <w:p w14:paraId="6226675C" w14:textId="274F1E11" w:rsidR="003A4D97" w:rsidRPr="0034037D" w:rsidRDefault="003A4D97" w:rsidP="005D6DAC">
            <w:pPr>
              <w:spacing w:after="0" w:line="259" w:lineRule="auto"/>
              <w:ind w:left="0" w:firstLine="0"/>
              <w:jc w:val="left"/>
              <w:rPr>
                <w:rFonts w:eastAsiaTheme="minorEastAsia"/>
              </w:rPr>
            </w:pPr>
            <w:r>
              <w:rPr>
                <w:rFonts w:eastAsiaTheme="minorEastAsia" w:hint="eastAsia"/>
              </w:rPr>
              <w:t>A</w:t>
            </w:r>
            <w:r>
              <w:rPr>
                <w:rFonts w:eastAsiaTheme="minorEastAsia"/>
              </w:rPr>
              <w:t xml:space="preserve">rticle </w:t>
            </w:r>
            <w:r w:rsidR="00F31E97">
              <w:rPr>
                <w:rFonts w:eastAsiaTheme="minorEastAsia"/>
              </w:rPr>
              <w:t>4</w:t>
            </w:r>
          </w:p>
        </w:tc>
        <w:tc>
          <w:tcPr>
            <w:tcW w:w="7432" w:type="dxa"/>
          </w:tcPr>
          <w:p w14:paraId="440533AC" w14:textId="77777777" w:rsidR="00F31E97" w:rsidRDefault="00F31E97" w:rsidP="00F31E97">
            <w:pPr>
              <w:spacing w:after="0" w:line="259" w:lineRule="auto"/>
              <w:ind w:left="0" w:right="61" w:firstLine="0"/>
            </w:pPr>
            <w:r>
              <w:t>Activities and grant amounts for application:</w:t>
            </w:r>
          </w:p>
          <w:p w14:paraId="169C247B" w14:textId="44BBE938" w:rsidR="00F31E97" w:rsidRDefault="00F31E97" w:rsidP="00F31E97">
            <w:pPr>
              <w:pStyle w:val="ListParagraph"/>
              <w:numPr>
                <w:ilvl w:val="0"/>
                <w:numId w:val="14"/>
              </w:numPr>
              <w:spacing w:after="0" w:line="259" w:lineRule="auto"/>
              <w:ind w:right="61"/>
            </w:pPr>
            <w:r>
              <w:t>For assisting in promoting and publicizing the campus advisors of CSW, a grant of 1,000 NTD per semester will be provided. The student organization must post the information about the counseling activities provided by CSW or the information about campus advisors of CSW on the official Facebook page of the college's student association at least once. The grant will be limited to one per semester.</w:t>
            </w:r>
          </w:p>
          <w:p w14:paraId="7F3031BC" w14:textId="489505B4" w:rsidR="00F31E97" w:rsidRDefault="00F31E97" w:rsidP="00F31E97">
            <w:pPr>
              <w:pStyle w:val="ListParagraph"/>
              <w:numPr>
                <w:ilvl w:val="0"/>
                <w:numId w:val="14"/>
              </w:numPr>
              <w:spacing w:after="0" w:line="259" w:lineRule="auto"/>
              <w:ind w:right="61"/>
            </w:pPr>
            <w:r>
              <w:t>For assisting in organizing counseling activities of CSW, a grant of 2,000 NTD per event will be provided. The student organization must discuss the activities with the campus advisor before the event, assist in the registration and photography during the event, and provide photos afterward. The grant will be limited to two per semester.</w:t>
            </w:r>
          </w:p>
          <w:p w14:paraId="76580CE9" w14:textId="49F577FA" w:rsidR="003A4D97" w:rsidRPr="00F31E97" w:rsidRDefault="00F31E97" w:rsidP="00F31E97">
            <w:pPr>
              <w:pStyle w:val="ListParagraph"/>
              <w:numPr>
                <w:ilvl w:val="0"/>
                <w:numId w:val="14"/>
              </w:numPr>
              <w:spacing w:after="0" w:line="259" w:lineRule="auto"/>
              <w:ind w:right="61"/>
              <w:rPr>
                <w:rFonts w:eastAsiaTheme="minorEastAsia"/>
              </w:rPr>
            </w:pPr>
            <w:r>
              <w:lastRenderedPageBreak/>
              <w:t>The execution of promotion or counseling activities of CSW as mentioned above will follow the principle of applying in advance and settling the accounts afterward. The grant provided under these regulations will be used until it is depleted.</w:t>
            </w:r>
          </w:p>
        </w:tc>
      </w:tr>
    </w:tbl>
    <w:p w14:paraId="0F1EF682" w14:textId="2681BDFD" w:rsidR="00E732BB" w:rsidRPr="0034037D" w:rsidRDefault="00E732BB" w:rsidP="00AF2132">
      <w:pPr>
        <w:tabs>
          <w:tab w:val="left" w:pos="4320"/>
        </w:tabs>
        <w:spacing w:after="98"/>
        <w:ind w:left="0" w:firstLine="0"/>
        <w:rPr>
          <w:rFonts w:eastAsiaTheme="minorEastAsia"/>
        </w:rPr>
      </w:pPr>
    </w:p>
    <w:tbl>
      <w:tblPr>
        <w:tblStyle w:val="TableGrid"/>
        <w:tblW w:w="8565" w:type="dxa"/>
        <w:tblInd w:w="0" w:type="dxa"/>
        <w:tblLook w:val="04A0" w:firstRow="1" w:lastRow="0" w:firstColumn="1" w:lastColumn="0" w:noHBand="0" w:noVBand="1"/>
      </w:tblPr>
      <w:tblGrid>
        <w:gridCol w:w="1133"/>
        <w:gridCol w:w="7432"/>
      </w:tblGrid>
      <w:tr w:rsidR="00E732BB" w:rsidRPr="00BB740B" w14:paraId="41470616" w14:textId="77777777" w:rsidTr="00AF2132">
        <w:trPr>
          <w:trHeight w:val="637"/>
        </w:trPr>
        <w:tc>
          <w:tcPr>
            <w:tcW w:w="1133" w:type="dxa"/>
            <w:tcBorders>
              <w:top w:val="nil"/>
              <w:left w:val="nil"/>
              <w:bottom w:val="nil"/>
              <w:right w:val="nil"/>
            </w:tcBorders>
          </w:tcPr>
          <w:p w14:paraId="31E39A7E" w14:textId="736BE804" w:rsidR="00E732BB" w:rsidRPr="00BB740B" w:rsidRDefault="00CA61A8">
            <w:pPr>
              <w:spacing w:after="0" w:line="259" w:lineRule="auto"/>
              <w:ind w:left="0" w:firstLine="0"/>
              <w:jc w:val="left"/>
            </w:pPr>
            <w:r w:rsidRPr="00BB740B">
              <w:t xml:space="preserve">Article </w:t>
            </w:r>
            <w:r w:rsidR="00AF2132">
              <w:t>5</w:t>
            </w:r>
          </w:p>
        </w:tc>
        <w:tc>
          <w:tcPr>
            <w:tcW w:w="7432" w:type="dxa"/>
            <w:tcBorders>
              <w:top w:val="nil"/>
              <w:left w:val="nil"/>
              <w:bottom w:val="nil"/>
              <w:right w:val="nil"/>
            </w:tcBorders>
          </w:tcPr>
          <w:p w14:paraId="702FAAE3" w14:textId="77777777" w:rsidR="00AF2132" w:rsidRDefault="00DE3336" w:rsidP="00AF2132">
            <w:pPr>
              <w:spacing w:after="0" w:line="259" w:lineRule="auto"/>
              <w:ind w:left="0" w:firstLine="0"/>
            </w:pPr>
            <w:r w:rsidRPr="00DE3336">
              <w:t>Fund settlement: Within one month after the event or the end of the semester, the student organization must submit a report on the achievements. CSW will verify the report and settle the grant, which will be transferred to the student organization's post office bank account opened by the Student Activity Division from Office of Student Affairs</w:t>
            </w:r>
            <w:r>
              <w:t>.</w:t>
            </w:r>
          </w:p>
          <w:p w14:paraId="03AA8F45" w14:textId="049F5940" w:rsidR="00DE3336" w:rsidRPr="00BB740B" w:rsidRDefault="00DE3336" w:rsidP="00AF2132">
            <w:pPr>
              <w:spacing w:after="0" w:line="259" w:lineRule="auto"/>
              <w:ind w:left="0" w:firstLine="0"/>
            </w:pPr>
          </w:p>
        </w:tc>
      </w:tr>
      <w:tr w:rsidR="00634B76" w:rsidRPr="00BB740B" w14:paraId="394316DE" w14:textId="77777777" w:rsidTr="00AF2132">
        <w:trPr>
          <w:trHeight w:val="637"/>
        </w:trPr>
        <w:tc>
          <w:tcPr>
            <w:tcW w:w="1133" w:type="dxa"/>
            <w:tcBorders>
              <w:top w:val="nil"/>
              <w:left w:val="nil"/>
              <w:bottom w:val="nil"/>
              <w:right w:val="nil"/>
            </w:tcBorders>
          </w:tcPr>
          <w:p w14:paraId="670904D7" w14:textId="465C80C2" w:rsidR="00634B76" w:rsidRPr="00BB740B" w:rsidRDefault="00634B76" w:rsidP="00634B76">
            <w:pPr>
              <w:spacing w:after="0" w:line="259" w:lineRule="auto"/>
              <w:ind w:left="0" w:firstLine="0"/>
              <w:jc w:val="left"/>
            </w:pPr>
            <w:r w:rsidRPr="00BB740B">
              <w:t xml:space="preserve">Article </w:t>
            </w:r>
            <w:r>
              <w:t>6</w:t>
            </w:r>
          </w:p>
        </w:tc>
        <w:tc>
          <w:tcPr>
            <w:tcW w:w="7432" w:type="dxa"/>
            <w:tcBorders>
              <w:top w:val="nil"/>
              <w:left w:val="nil"/>
              <w:bottom w:val="nil"/>
              <w:right w:val="nil"/>
            </w:tcBorders>
          </w:tcPr>
          <w:p w14:paraId="600BA197" w14:textId="10BACEEF" w:rsidR="00634B76" w:rsidRDefault="00DE3336" w:rsidP="00634B76">
            <w:pPr>
              <w:spacing w:after="0" w:line="259" w:lineRule="auto"/>
              <w:ind w:left="0" w:firstLine="0"/>
            </w:pPr>
            <w:r w:rsidRPr="00DE3336">
              <w:t>These regulations are approved by the administrative team of CSW and the Student Safety Center, and will be implemented from the date of publication.</w:t>
            </w:r>
          </w:p>
        </w:tc>
      </w:tr>
    </w:tbl>
    <w:p w14:paraId="5CC1406C" w14:textId="4EE359B4" w:rsidR="00CA61A8" w:rsidRPr="0034037D" w:rsidRDefault="00CA61A8" w:rsidP="00634B76">
      <w:pPr>
        <w:ind w:left="0" w:firstLine="0"/>
        <w:rPr>
          <w:rFonts w:eastAsiaTheme="minorEastAsia"/>
        </w:rPr>
      </w:pPr>
    </w:p>
    <w:sectPr w:rsidR="00CA61A8" w:rsidRPr="0034037D">
      <w:pgSz w:w="11906" w:h="16838"/>
      <w:pgMar w:top="1428" w:right="1696" w:bottom="157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7CAD" w14:textId="77777777" w:rsidR="008571E8" w:rsidRDefault="008571E8" w:rsidP="00D42769">
      <w:pPr>
        <w:spacing w:after="0" w:line="240" w:lineRule="auto"/>
      </w:pPr>
      <w:r>
        <w:separator/>
      </w:r>
    </w:p>
  </w:endnote>
  <w:endnote w:type="continuationSeparator" w:id="0">
    <w:p w14:paraId="391AE446" w14:textId="77777777" w:rsidR="008571E8" w:rsidRDefault="008571E8" w:rsidP="00D4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89AE" w14:textId="77777777" w:rsidR="008571E8" w:rsidRDefault="008571E8" w:rsidP="00D42769">
      <w:pPr>
        <w:spacing w:after="0" w:line="240" w:lineRule="auto"/>
      </w:pPr>
      <w:r>
        <w:separator/>
      </w:r>
    </w:p>
  </w:footnote>
  <w:footnote w:type="continuationSeparator" w:id="0">
    <w:p w14:paraId="7073039A" w14:textId="77777777" w:rsidR="008571E8" w:rsidRDefault="008571E8" w:rsidP="00D42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351"/>
    <w:multiLevelType w:val="hybridMultilevel"/>
    <w:tmpl w:val="88DCC596"/>
    <w:lvl w:ilvl="0" w:tplc="BDAC28EE">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E4A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25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485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C45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4F1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A37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CC3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A7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AC59C1"/>
    <w:multiLevelType w:val="hybridMultilevel"/>
    <w:tmpl w:val="A630EDB6"/>
    <w:lvl w:ilvl="0" w:tplc="6E60C7E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14D70BD"/>
    <w:multiLevelType w:val="hybridMultilevel"/>
    <w:tmpl w:val="BF0A7C5A"/>
    <w:lvl w:ilvl="0" w:tplc="8CB2ED5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5242D59"/>
    <w:multiLevelType w:val="hybridMultilevel"/>
    <w:tmpl w:val="BF9ECBA2"/>
    <w:lvl w:ilvl="0" w:tplc="94D63FCA">
      <w:start w:val="1"/>
      <w:numFmt w:val="decimal"/>
      <w:lvlText w:val="%1."/>
      <w:lvlJc w:val="left"/>
      <w:pPr>
        <w:ind w:left="1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82122">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2FAA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C5BC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67A70">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460B2">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27C52">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2CC8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6C9B2">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FF7FD7"/>
    <w:multiLevelType w:val="hybridMultilevel"/>
    <w:tmpl w:val="620E25A2"/>
    <w:lvl w:ilvl="0" w:tplc="2006DF9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E38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4EE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A6B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8C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2C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88A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AA7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450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90C35"/>
    <w:multiLevelType w:val="hybridMultilevel"/>
    <w:tmpl w:val="FC8E9EBE"/>
    <w:lvl w:ilvl="0" w:tplc="649C1F62">
      <w:start w:val="1"/>
      <w:numFmt w:val="decimal"/>
      <w:lvlText w:val="%1."/>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7038D0">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E3B9C">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6CF36">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C08A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CA89E">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44B4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CF952">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00294">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3A4162"/>
    <w:multiLevelType w:val="hybridMultilevel"/>
    <w:tmpl w:val="35788904"/>
    <w:lvl w:ilvl="0" w:tplc="045A51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88D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0F7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22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4E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4FF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721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81E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29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0230FE"/>
    <w:multiLevelType w:val="hybridMultilevel"/>
    <w:tmpl w:val="95FECFDE"/>
    <w:lvl w:ilvl="0" w:tplc="A7A0252C">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8" w15:restartNumberingAfterBreak="0">
    <w:nsid w:val="3A825964"/>
    <w:multiLevelType w:val="hybridMultilevel"/>
    <w:tmpl w:val="A722698E"/>
    <w:lvl w:ilvl="0" w:tplc="4FCA8506">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3C320DA3"/>
    <w:multiLevelType w:val="hybridMultilevel"/>
    <w:tmpl w:val="AB0A3C74"/>
    <w:lvl w:ilvl="0" w:tplc="A6E638FE">
      <w:start w:val="1"/>
      <w:numFmt w:val="decimal"/>
      <w:lvlText w:val="%1."/>
      <w:lvlJc w:val="left"/>
      <w:pPr>
        <w:ind w:left="1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763F3C">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843774">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829646">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E80186">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8C02AA">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BCCD40">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528BE0">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2473A0">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022ADA"/>
    <w:multiLevelType w:val="hybridMultilevel"/>
    <w:tmpl w:val="54689E2C"/>
    <w:lvl w:ilvl="0" w:tplc="3280AFC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10D2E95"/>
    <w:multiLevelType w:val="hybridMultilevel"/>
    <w:tmpl w:val="EFE6E726"/>
    <w:lvl w:ilvl="0" w:tplc="931E783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15:restartNumberingAfterBreak="0">
    <w:nsid w:val="5BB27F32"/>
    <w:multiLevelType w:val="hybridMultilevel"/>
    <w:tmpl w:val="F738AD5E"/>
    <w:lvl w:ilvl="0" w:tplc="950A366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C63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64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256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23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8CE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2CB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AC9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2A7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ED235A"/>
    <w:multiLevelType w:val="hybridMultilevel"/>
    <w:tmpl w:val="3F1441C6"/>
    <w:lvl w:ilvl="0" w:tplc="A40A89E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6"/>
  </w:num>
  <w:num w:numId="5">
    <w:abstractNumId w:val="4"/>
  </w:num>
  <w:num w:numId="6">
    <w:abstractNumId w:val="12"/>
  </w:num>
  <w:num w:numId="7">
    <w:abstractNumId w:val="0"/>
  </w:num>
  <w:num w:numId="8">
    <w:abstractNumId w:val="1"/>
  </w:num>
  <w:num w:numId="9">
    <w:abstractNumId w:val="11"/>
  </w:num>
  <w:num w:numId="10">
    <w:abstractNumId w:val="7"/>
  </w:num>
  <w:num w:numId="11">
    <w:abstractNumId w:val="10"/>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BB"/>
    <w:rsid w:val="000566AA"/>
    <w:rsid w:val="000A608E"/>
    <w:rsid w:val="001C769A"/>
    <w:rsid w:val="001D6D27"/>
    <w:rsid w:val="002308F9"/>
    <w:rsid w:val="00262F60"/>
    <w:rsid w:val="002C782F"/>
    <w:rsid w:val="0034037D"/>
    <w:rsid w:val="003A4D97"/>
    <w:rsid w:val="003E320B"/>
    <w:rsid w:val="00400C61"/>
    <w:rsid w:val="0040254A"/>
    <w:rsid w:val="0046312A"/>
    <w:rsid w:val="004C7D2C"/>
    <w:rsid w:val="00634B76"/>
    <w:rsid w:val="0065034C"/>
    <w:rsid w:val="006E50C0"/>
    <w:rsid w:val="007F62B7"/>
    <w:rsid w:val="00843D07"/>
    <w:rsid w:val="008513EE"/>
    <w:rsid w:val="008571E8"/>
    <w:rsid w:val="00872DA4"/>
    <w:rsid w:val="008D7FD8"/>
    <w:rsid w:val="009C5D7E"/>
    <w:rsid w:val="009F0E4C"/>
    <w:rsid w:val="00AF2132"/>
    <w:rsid w:val="00BB740B"/>
    <w:rsid w:val="00BD7560"/>
    <w:rsid w:val="00CA61A8"/>
    <w:rsid w:val="00D42769"/>
    <w:rsid w:val="00DE3336"/>
    <w:rsid w:val="00E55EA3"/>
    <w:rsid w:val="00E732BB"/>
    <w:rsid w:val="00ED02D6"/>
    <w:rsid w:val="00ED3D4A"/>
    <w:rsid w:val="00F31E97"/>
    <w:rsid w:val="00F426A8"/>
    <w:rsid w:val="00F56A6C"/>
    <w:rsid w:val="00FB2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AB6DF"/>
  <w15:docId w15:val="{EC41749B-2568-4E6F-97D8-B8D8A839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97"/>
    <w:pPr>
      <w:spacing w:after="10" w:line="249" w:lineRule="auto"/>
      <w:ind w:left="1143"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D4276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42769"/>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D4276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42769"/>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F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cp:lastModifiedBy>Leong Carlsson Ting Kang</cp:lastModifiedBy>
  <cp:revision>8</cp:revision>
  <dcterms:created xsi:type="dcterms:W3CDTF">2024-04-17T02:44:00Z</dcterms:created>
  <dcterms:modified xsi:type="dcterms:W3CDTF">2024-04-17T02:49:00Z</dcterms:modified>
</cp:coreProperties>
</file>